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0" w:rsidRDefault="00F81480">
      <w:pPr>
        <w:widowControl w:val="0"/>
        <w:spacing w:line="239" w:lineRule="auto"/>
        <w:ind w:left="36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F81480">
        <w:rPr>
          <w:sz w:val="28"/>
        </w:rPr>
        <w:t>Комиссия для организации и проведения конкурса на оказание финансовой поддержки социально-ориентированным некоммерческим организациям на реализацию общественно полезных (социальных) мероприятий (направлений) в городском округе город Дзержинск объявляет конкурс на оказание финансовой поддержки в форме субсидии по реализации подпрограммы 4 «Развитие институтов гражданского общества в городском округе»  (мероприятие 4.1.), в  рамках действующей муниципальной программы «Повышение эффективности деятельности органов местного самоуправления городского округа</w:t>
      </w:r>
      <w:proofErr w:type="gramEnd"/>
      <w:r w:rsidRPr="00F81480">
        <w:rPr>
          <w:sz w:val="28"/>
        </w:rPr>
        <w:t xml:space="preserve"> город Дзержинск» по следующим направлениям деятельности: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1. деятельность    в    сфере    патриотического,   в    том    числе    военно-патриотического, воспитания граждан Российской Федерации;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2. развитие межнационального сотрудничества;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3. реализация культурно-просветительных программ и мероприятий; 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4. повышение качества жизни людей пожилого возраста;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5. социальная адаптация инвалидов и их семей;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6.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 и мест захоронений.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Конкурс проводится в соответствии с Порядком предоставления субсидий на оказание финансовой поддержки социально ориентированным некоммерческим организациям на реализацию общественно полезных (социальных) мероприятий (направлений) в городском округе город Дзержинск, утвержденный  постановлением администрации города Дзержинска от 12.04.2021 №1020 (далее Порядок).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Субсидии в соответствии с настоящим Порядком предоставляются социально ориентированным некоммерческим организациям, зарегистрированным в установленном законодательством порядке в качестве юридических лиц и осуществляющим свою деятельность на территории городского округа город Дзержинск Нижегородской области, не являющимся государственными (муниципальными) учреждениями. Получателями субсидий не могут быть некоммерческие организации религиозной направленности.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Участники конкурса по состоянию на 1-е число месяца, в котором подается заявка, должны соответствовать следующим требованиям:</w:t>
      </w:r>
    </w:p>
    <w:p w:rsidR="00F81480" w:rsidRPr="00F81480" w:rsidRDefault="00F81480" w:rsidP="00F814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участник конкурса не должен иметь задолженности по начисленным налогам, сборам и иным обязательным платежам в бюджеты всех уровней и внебюджетные фонды, находиться в процессе ликвидации или реорганизации;</w:t>
      </w:r>
    </w:p>
    <w:p w:rsidR="00F81480" w:rsidRPr="00F81480" w:rsidRDefault="00F81480" w:rsidP="00F814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proofErr w:type="gramStart"/>
      <w:r w:rsidRPr="00F81480">
        <w:rPr>
          <w:sz w:val="28"/>
        </w:rPr>
        <w:t xml:space="preserve">участник конкурса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F81480">
        <w:rPr>
          <w:sz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81480">
        <w:rPr>
          <w:sz w:val="28"/>
        </w:rPr>
        <w:t xml:space="preserve"> превышает 50 процентов;</w:t>
      </w:r>
    </w:p>
    <w:p w:rsidR="00F81480" w:rsidRPr="00F81480" w:rsidRDefault="00F81480" w:rsidP="00F8148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участник конкурса не должен получать средства из городского бюджета на основании иных нормативных правовых актов на цели, установленные настоящим Порядком.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 xml:space="preserve">Комиссия осуществляет оценку заявок, допущенных к участию в конкурсе, по 6-бальной шкале в </w:t>
      </w:r>
      <w:proofErr w:type="gramStart"/>
      <w:r w:rsidRPr="00F81480">
        <w:rPr>
          <w:sz w:val="28"/>
        </w:rPr>
        <w:t>срок</w:t>
      </w:r>
      <w:proofErr w:type="gramEnd"/>
      <w:r w:rsidRPr="00F81480">
        <w:rPr>
          <w:sz w:val="28"/>
        </w:rPr>
        <w:t xml:space="preserve"> не превышающий 10 рабочих дней с даты окончания проверки заявок по следующим критериям оценки:</w:t>
      </w:r>
    </w:p>
    <w:p w:rsidR="00F81480" w:rsidRPr="00F81480" w:rsidRDefault="00F81480" w:rsidP="00F814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соответствие общественно полезных (социальных) мероприятий (направлений) целям, указанным в пункте 1.7 настоящего Порядка;</w:t>
      </w:r>
    </w:p>
    <w:p w:rsidR="00F81480" w:rsidRPr="00F81480" w:rsidRDefault="00F81480" w:rsidP="00F814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актуальность    общественно    полезных    (социальных)    мероприятий (направлений);</w:t>
      </w:r>
    </w:p>
    <w:p w:rsidR="00F81480" w:rsidRPr="00F81480" w:rsidRDefault="00F81480" w:rsidP="00F814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социальный эффект;</w:t>
      </w:r>
    </w:p>
    <w:p w:rsidR="00F81480" w:rsidRPr="00F81480" w:rsidRDefault="00F81480" w:rsidP="00F814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экономическая целесообразность;</w:t>
      </w:r>
    </w:p>
    <w:p w:rsidR="00F81480" w:rsidRPr="00F81480" w:rsidRDefault="00F81480" w:rsidP="00F8148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обоснованность (наличие необходимых обоснований, расчетов, логики и взаимосвязи предлагаемых мероприятий).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Право на выступление имеет каждый участник заседания Комиссии.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В случае наличия высокого коэффициента рейтинга, но низкой оценки по критерию обоснованности, члены Комиссии дополнительно рассматривают проект и по результатам принимают решение о сокращении объема средств по сравнению с размером субсидии, заявленным организацией, и увеличении коэффициента рейтинга по критерию обоснованности либо оставлении размера данного коэффициента без изменения.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В срок до 27 мая 2021 года для участия в конкурсе на получение субсидии для реализации общественно полезных (социальных) мероприятий (направлений) в городском округе город Дзержинск соискатель субсидии направляет в комиссию: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- сопроводительное письмо с заявкой для участия в конкурсе с описанием общественно полезного (социального) мероприятия (направления) и сметой расходов по форме согласно Приложению;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- справка об исполнении налогоплательщиком (плательщиком сборов, налоговым агентом) обязанности по уплате налогов, сборов, пеней, штрафов по форме Федеральной налоговой службы России, выданная не ранее 20 дней до даты подачи заявки;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 xml:space="preserve">- выписка из Единого государственного реестра юридических лиц, </w:t>
      </w:r>
      <w:proofErr w:type="gramStart"/>
      <w:r w:rsidRPr="00F81480">
        <w:rPr>
          <w:sz w:val="28"/>
        </w:rPr>
        <w:t>выданную</w:t>
      </w:r>
      <w:proofErr w:type="gramEnd"/>
      <w:r w:rsidRPr="00F81480">
        <w:rPr>
          <w:sz w:val="28"/>
        </w:rPr>
        <w:t xml:space="preserve"> не ранее чем за месяц до даты подачи заявки. Все документы, представляемые претендентами на получение субсидий в копиях, должны быть заверены руководителем некоммерческой организации.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Заявки подаются   в        ответственное     структурное подразделение департамент управления делами по адресу: пл. Дзержинского, 1, каб.25 (т. 27-99-80), </w:t>
      </w:r>
      <w:hyperlink r:id="rId6" w:history="1">
        <w:r w:rsidRPr="00F81480">
          <w:rPr>
            <w:rStyle w:val="a3"/>
            <w:color w:val="auto"/>
            <w:sz w:val="28"/>
          </w:rPr>
          <w:t>oosl@adm.dzr.nnov.ru</w:t>
        </w:r>
      </w:hyperlink>
      <w:r w:rsidRPr="00F81480">
        <w:rPr>
          <w:sz w:val="28"/>
        </w:rPr>
        <w:t>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lastRenderedPageBreak/>
        <w:t>Заявки, оформленные от руки, а также полученные по факсу или по электронной почте, на рассмотрение не принимаются.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Поданные на конкурс документы не возвращаются.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Всю необходимую информацию можно найти на официальном сайте администрации   города   </w:t>
      </w:r>
      <w:hyperlink r:id="rId7" w:history="1">
        <w:r w:rsidRPr="00F81480">
          <w:rPr>
            <w:rStyle w:val="a3"/>
            <w:color w:val="auto"/>
            <w:sz w:val="28"/>
          </w:rPr>
          <w:t>(https://адмдзержинск.рф, </w:t>
        </w:r>
      </w:hyperlink>
      <w:r w:rsidRPr="00F81480">
        <w:rPr>
          <w:sz w:val="28"/>
        </w:rPr>
        <w:t>  «Город для    жизни», «Гражданское общество», «Некоммерческие организации» - нормативно-правовая база).</w:t>
      </w:r>
    </w:p>
    <w:p w:rsidR="00F81480" w:rsidRPr="00F81480" w:rsidRDefault="00F81480" w:rsidP="00F8148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81480">
        <w:rPr>
          <w:sz w:val="28"/>
        </w:rPr>
        <w:t>Секретарь Комиссии не позднее 14-го календарного дня, следующего за днем подписания протокола заседания Комиссии, размещает на едином портале, а также на официальном сайте администрации города информацию о результатах рассмотрения заявок, включающую следующие сведения:</w:t>
      </w:r>
    </w:p>
    <w:p w:rsidR="00F81480" w:rsidRPr="00F81480" w:rsidRDefault="00F81480" w:rsidP="00F8148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>
        <w:rPr>
          <w:sz w:val="28"/>
        </w:rPr>
        <w:t>д</w:t>
      </w:r>
      <w:r w:rsidRPr="00F81480">
        <w:rPr>
          <w:sz w:val="28"/>
        </w:rPr>
        <w:t>ату, время и место проведения рассмотрения заявок; - дату, время и место оценки заявок;</w:t>
      </w:r>
    </w:p>
    <w:p w:rsidR="00F81480" w:rsidRPr="00F81480" w:rsidRDefault="00F81480" w:rsidP="00F8148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информацию об участниках конкурса, заявки которых были рассмотрены;</w:t>
      </w:r>
    </w:p>
    <w:p w:rsidR="00F81480" w:rsidRPr="00F81480" w:rsidRDefault="00F81480" w:rsidP="00F8148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81480" w:rsidRPr="00F81480" w:rsidRDefault="00F81480" w:rsidP="00F8148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F81480" w:rsidRDefault="00F81480" w:rsidP="00F8148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</w:rPr>
      </w:pPr>
      <w:r w:rsidRPr="00F81480">
        <w:rPr>
          <w:sz w:val="28"/>
        </w:rPr>
        <w:t>наименования получателей субсидии, с которыми заключаются соглашения, и размер предоставляемой им субсидии.</w:t>
      </w:r>
    </w:p>
    <w:p w:rsidR="00F81480" w:rsidRDefault="00F8148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sz w:val="28"/>
        </w:rPr>
        <w:br w:type="page"/>
      </w:r>
    </w:p>
    <w:p w:rsidR="002F5954" w:rsidRPr="00E8110B" w:rsidRDefault="00E8110B">
      <w:pPr>
        <w:widowControl w:val="0"/>
        <w:spacing w:line="239" w:lineRule="auto"/>
        <w:ind w:left="3601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8110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ЗАЯВКИ,</w:t>
      </w:r>
    </w:p>
    <w:p w:rsidR="002F5954" w:rsidRPr="00E8110B" w:rsidRDefault="00E8110B">
      <w:pPr>
        <w:widowControl w:val="0"/>
        <w:spacing w:line="239" w:lineRule="auto"/>
        <w:ind w:left="258" w:right="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10B">
        <w:rPr>
          <w:rFonts w:ascii="Times New Roman" w:eastAsia="Times New Roman" w:hAnsi="Times New Roman" w:cs="Times New Roman"/>
          <w:sz w:val="28"/>
          <w:szCs w:val="28"/>
        </w:rPr>
        <w:t>ПОДАВ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 xml:space="preserve">ЕМОЙ </w:t>
      </w:r>
      <w:r w:rsidRPr="00E8110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ОЦИАЛЬНО ОРИЕНТИРОВАНН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 xml:space="preserve">Й НЕКОММЕРЧЕСКОЙ 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ЗАЦИЕЙ, ДЛЯ УЧАСТ</w:t>
      </w:r>
      <w:r w:rsidRPr="00E8110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8110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 xml:space="preserve"> КОНКУРСЕ НА 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ЛУЧЕН</w:t>
      </w:r>
      <w:r w:rsidRPr="00E8110B">
        <w:rPr>
          <w:rFonts w:ascii="Times New Roman" w:eastAsia="Times New Roman" w:hAnsi="Times New Roman" w:cs="Times New Roman"/>
          <w:spacing w:val="1"/>
          <w:sz w:val="28"/>
          <w:szCs w:val="28"/>
        </w:rPr>
        <w:t>ИЕ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А Р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АЛИЗАЦИЮ ОБЩЕСТВЕННО ПОЛ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ЗНЫХ (С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8110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ИАЛЬ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ЫХ) МЕР</w:t>
      </w:r>
      <w:r w:rsidRPr="00E8110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ПРИЯТИЙ (НАПР</w:t>
      </w:r>
      <w:r w:rsidRPr="00E8110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ВЛЕНИ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811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5954" w:rsidRPr="00622F2B" w:rsidRDefault="002F5954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954" w:rsidRPr="00622F2B" w:rsidRDefault="00E8110B">
      <w:pPr>
        <w:widowControl w:val="0"/>
        <w:spacing w:line="240" w:lineRule="auto"/>
        <w:ind w:left="3318" w:right="-20"/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z w:val="28"/>
          <w:szCs w:val="28"/>
        </w:rPr>
        <w:t>1. ТИ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УЛЬНЫЙ ЛИСТ</w:t>
      </w:r>
    </w:p>
    <w:p w:rsidR="002F5954" w:rsidRPr="00622F2B" w:rsidRDefault="002F595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3009"/>
        <w:gridCol w:w="2694"/>
      </w:tblGrid>
      <w:tr w:rsidR="00622F2B" w:rsidRPr="00622F2B" w:rsidTr="00246712">
        <w:trPr>
          <w:cantSplit/>
          <w:trHeight w:hRule="exact" w:val="79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3" w:line="239" w:lineRule="auto"/>
              <w:ind w:left="62" w:righ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лно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нии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ЕГРЮЛ)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425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ги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рг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85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3" w:line="239" w:lineRule="auto"/>
              <w:ind w:left="62" w:right="10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низ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цион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о-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вов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орм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огл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тву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ии)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7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6" w:line="240" w:lineRule="auto"/>
              <w:ind w:left="62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ктич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4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3" w:line="240" w:lineRule="auto"/>
              <w:ind w:left="62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фон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/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ктронн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4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Адр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рг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469"/>
        </w:trPr>
        <w:tc>
          <w:tcPr>
            <w:tcW w:w="37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ль орг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.И.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433"/>
        </w:trPr>
        <w:tc>
          <w:tcPr>
            <w:tcW w:w="37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1179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3" w:line="239" w:lineRule="auto"/>
              <w:ind w:left="62"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нков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кви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зи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ты (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т, 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нк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т,</w:t>
            </w:r>
            <w:r w:rsidRPr="00622F2B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, БИК,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КПП, О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РН, юридич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ея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4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3" w:line="240" w:lineRule="auto"/>
              <w:ind w:left="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лич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отр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дников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лич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85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39" w:lineRule="auto"/>
              <w:ind w:left="62" w:right="1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 (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оци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льного) м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опри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вл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859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6" w:line="239" w:lineRule="auto"/>
              <w:ind w:left="62" w:right="1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ль про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., 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фон, эл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ктро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85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39" w:lineRule="auto"/>
              <w:ind w:left="62" w:right="1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хг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фо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, эл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ктро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имо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б.)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556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б.)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E8110B">
        <w:trPr>
          <w:cantSplit/>
          <w:trHeight w:hRule="exact" w:val="1433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3" w:line="239" w:lineRule="auto"/>
              <w:ind w:left="62"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зв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еа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мых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нной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ас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 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ктов,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х, 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еа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цию к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были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ыд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идии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1079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39" w:lineRule="auto"/>
              <w:ind w:left="62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еа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нны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кты 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1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22F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ммы, 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, до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тиг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тых 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ьт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763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39" w:lineRule="auto"/>
              <w:ind w:left="62"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гл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с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блик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цию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r w:rsidRPr="00622F2B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вит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  <w:tr w:rsidR="00622F2B" w:rsidRPr="00622F2B" w:rsidTr="00246712">
        <w:trPr>
          <w:cantSplit/>
          <w:trHeight w:hRule="exact" w:val="421"/>
        </w:trPr>
        <w:tc>
          <w:tcPr>
            <w:tcW w:w="6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E8110B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</w:t>
            </w:r>
            <w:r w:rsidRPr="00622F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2F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22F2B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ая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22F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622F2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954" w:rsidRPr="00622F2B" w:rsidRDefault="002F5954"/>
        </w:tc>
      </w:tr>
    </w:tbl>
    <w:p w:rsidR="002F5954" w:rsidRPr="00622F2B" w:rsidRDefault="002F5954">
      <w:pPr>
        <w:spacing w:after="97" w:line="240" w:lineRule="exact"/>
        <w:rPr>
          <w:sz w:val="24"/>
          <w:szCs w:val="24"/>
        </w:rPr>
      </w:pPr>
    </w:p>
    <w:p w:rsidR="002F5954" w:rsidRPr="00622F2B" w:rsidRDefault="00E8110B">
      <w:pPr>
        <w:widowControl w:val="0"/>
        <w:tabs>
          <w:tab w:val="left" w:pos="1474"/>
          <w:tab w:val="left" w:pos="1832"/>
          <w:tab w:val="left" w:pos="3100"/>
          <w:tab w:val="left" w:pos="4323"/>
          <w:tab w:val="left" w:pos="5339"/>
          <w:tab w:val="left" w:pos="6460"/>
          <w:tab w:val="left" w:pos="6870"/>
          <w:tab w:val="left" w:pos="7860"/>
          <w:tab w:val="left" w:pos="8170"/>
        </w:tabs>
        <w:spacing w:line="239" w:lineRule="auto"/>
        <w:ind w:left="63" w:right="-1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др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 ори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нти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ными</w:t>
      </w:r>
      <w:r w:rsidRPr="00622F2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2F2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рч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 w:rsidRPr="00622F2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ми,</w:t>
      </w:r>
      <w:r w:rsidRPr="00622F2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тит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обходимо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отр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ить    </w:t>
      </w:r>
      <w:r w:rsidRPr="00622F2B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2F2B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622F2B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м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954" w:rsidRPr="00622F2B" w:rsidRDefault="002F595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22F2B" w:rsidRDefault="00E8110B" w:rsidP="00622F2B">
      <w:pPr>
        <w:widowControl w:val="0"/>
        <w:spacing w:line="241" w:lineRule="auto"/>
        <w:ind w:left="63" w:right="-62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22F2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дп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ково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низ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622F2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тью.</w:t>
      </w:r>
    </w:p>
    <w:p w:rsidR="00E8110B" w:rsidRDefault="00E8110B" w:rsidP="00E811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5954" w:rsidRPr="00622F2B" w:rsidRDefault="00E8110B" w:rsidP="00E8110B">
      <w:pPr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ИСАН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ЗНАЧ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ИМОГО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ПРИЯТИЯ (НАПР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ИЯ)</w:t>
      </w:r>
    </w:p>
    <w:p w:rsidR="002F5954" w:rsidRPr="00622F2B" w:rsidRDefault="002F595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954" w:rsidRPr="00622F2B" w:rsidRDefault="00E8110B">
      <w:pPr>
        <w:widowControl w:val="0"/>
        <w:spacing w:line="239" w:lineRule="auto"/>
        <w:ind w:left="63" w:right="-62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622F2B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опи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новной</w:t>
      </w:r>
      <w:r w:rsidRPr="00622F2B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оци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954" w:rsidRPr="00622F2B" w:rsidRDefault="002F595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954" w:rsidRPr="00622F2B" w:rsidRDefault="00E8110B">
      <w:pPr>
        <w:widowControl w:val="0"/>
        <w:tabs>
          <w:tab w:val="left" w:pos="1367"/>
          <w:tab w:val="left" w:pos="3723"/>
          <w:tab w:val="left" w:pos="5405"/>
          <w:tab w:val="left" w:pos="5899"/>
          <w:tab w:val="left" w:pos="8050"/>
        </w:tabs>
        <w:spacing w:line="241" w:lineRule="auto"/>
        <w:ind w:left="63" w:right="-64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дп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э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оци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(н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954" w:rsidRPr="00622F2B" w:rsidRDefault="002F595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954" w:rsidRPr="00622F2B" w:rsidRDefault="00E8110B">
      <w:pPr>
        <w:widowControl w:val="0"/>
        <w:spacing w:line="241" w:lineRule="auto"/>
        <w:ind w:left="63" w:right="-60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622F2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льных</w:t>
      </w:r>
      <w:r w:rsidRPr="00622F2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очнико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фин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 м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(при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ичии).</w:t>
      </w:r>
    </w:p>
    <w:p w:rsidR="002F5954" w:rsidRPr="00622F2B" w:rsidRDefault="002F5954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954" w:rsidRPr="00622F2B" w:rsidRDefault="00E8110B">
      <w:pPr>
        <w:widowControl w:val="0"/>
        <w:spacing w:line="240" w:lineRule="auto"/>
        <w:ind w:left="63" w:right="-16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622F2B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рный</w:t>
      </w:r>
      <w:r w:rsidRPr="00622F2B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фик</w:t>
      </w:r>
      <w:r w:rsidRPr="00622F2B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2F2B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опи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22F2B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622F2B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2F2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622F2B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22F2B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 ожид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мых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ито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2F5954" w:rsidRPr="00622F2B" w:rsidRDefault="002F595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954" w:rsidRPr="00622F2B" w:rsidRDefault="00E8110B">
      <w:pPr>
        <w:widowControl w:val="0"/>
        <w:spacing w:line="240" w:lineRule="auto"/>
        <w:ind w:left="63" w:right="-1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622F2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622F2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фин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ропри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) (возможно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йш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22F2B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оци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льного</w:t>
      </w:r>
      <w:r w:rsidRPr="00622F2B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око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фин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идии).</w:t>
      </w:r>
    </w:p>
    <w:p w:rsidR="002F5954" w:rsidRPr="00622F2B" w:rsidRDefault="002F5954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5954" w:rsidRPr="00622F2B" w:rsidRDefault="00E8110B" w:rsidP="00622F2B">
      <w:pPr>
        <w:widowControl w:val="0"/>
        <w:spacing w:line="241" w:lineRule="auto"/>
        <w:ind w:left="63" w:right="-62" w:firstLine="539"/>
        <w:rPr>
          <w:rFonts w:ascii="Times New Roman" w:eastAsia="Times New Roman" w:hAnsi="Times New Roman" w:cs="Times New Roman"/>
          <w:sz w:val="28"/>
          <w:szCs w:val="28"/>
        </w:rPr>
      </w:pPr>
      <w:r w:rsidRPr="00622F2B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622F2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622F2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роп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2F2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2F2B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622F2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й р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ходов, 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 xml:space="preserve">мм в </w:t>
      </w:r>
      <w:r w:rsidRPr="00622F2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убл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2F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622F2B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622F2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22F2B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622F2B">
        <w:rPr>
          <w:rFonts w:ascii="Times New Roman" w:eastAsia="Times New Roman" w:hAnsi="Times New Roman" w:cs="Times New Roman"/>
          <w:sz w:val="28"/>
          <w:szCs w:val="28"/>
        </w:rPr>
        <w:t>ний.</w:t>
      </w:r>
    </w:p>
    <w:sectPr w:rsidR="002F5954" w:rsidRPr="00622F2B">
      <w:pgSz w:w="11906" w:h="16838"/>
      <w:pgMar w:top="1132" w:right="850" w:bottom="1061" w:left="16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2D69"/>
    <w:multiLevelType w:val="hybridMultilevel"/>
    <w:tmpl w:val="C0645E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F415AC"/>
    <w:multiLevelType w:val="hybridMultilevel"/>
    <w:tmpl w:val="1FD224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F67425"/>
    <w:multiLevelType w:val="hybridMultilevel"/>
    <w:tmpl w:val="1CA2B9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5954"/>
    <w:rsid w:val="00246712"/>
    <w:rsid w:val="002F5954"/>
    <w:rsid w:val="00622F2B"/>
    <w:rsid w:val="00E8110B"/>
    <w:rsid w:val="00F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F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F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hahanova.as\Downloads\(https:\%D0%B0%D0%B4%D0%BC%D0%B4%D0%B7%D0%B5%D1%80%D0%B6%D0%B8%D0%BD%D1%81%D0%BA.%D1%80%D1%84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sl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4</cp:revision>
  <dcterms:created xsi:type="dcterms:W3CDTF">2021-04-26T07:02:00Z</dcterms:created>
  <dcterms:modified xsi:type="dcterms:W3CDTF">2021-04-26T07:52:00Z</dcterms:modified>
</cp:coreProperties>
</file>